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7CC" w:rsidRDefault="00DC57CC" w:rsidP="00DC57CC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hd w:val="clear" w:color="auto" w:fill="FF00FF"/>
        </w:rPr>
        <w:t xml:space="preserve">TÍTULO: HABLEMOS DE HÁBITOS ALIMENTICIOS: </w:t>
      </w:r>
      <w:r>
        <w:rPr>
          <w:rFonts w:ascii="Arial" w:hAnsi="Arial" w:cs="Arial"/>
          <w:b/>
          <w:i/>
          <w:shd w:val="clear" w:color="auto" w:fill="FF00FF"/>
        </w:rPr>
        <w:t>MI HIJA NO</w:t>
      </w:r>
      <w:r w:rsidRPr="002D2C64">
        <w:rPr>
          <w:rStyle w:val="Refdenotaalpie"/>
          <w:rFonts w:ascii="Arial" w:hAnsi="Arial" w:cs="Arial"/>
          <w:b/>
          <w:i/>
          <w:shd w:val="clear" w:color="auto" w:fill="FF00FF"/>
        </w:rPr>
        <w:footnoteReference w:customMarkFollows="1" w:id="1"/>
        <w:sym w:font="Symbol" w:char="F02A"/>
      </w:r>
    </w:p>
    <w:p w:rsidR="00DC57CC" w:rsidRDefault="00DC57CC" w:rsidP="00DC57CC">
      <w:pPr>
        <w:jc w:val="both"/>
        <w:rPr>
          <w:rFonts w:ascii="Arial" w:hAnsi="Arial" w:cs="Arial"/>
          <w:b/>
        </w:rPr>
      </w:pPr>
    </w:p>
    <w:p w:rsidR="00DC57CC" w:rsidRDefault="00DC57CC" w:rsidP="00DC57CC">
      <w:pPr>
        <w:jc w:val="both"/>
        <w:outlineLvl w:val="0"/>
        <w:rPr>
          <w:rFonts w:ascii="Arial" w:hAnsi="Arial" w:cs="Arial"/>
          <w:b/>
          <w:shd w:val="clear" w:color="auto" w:fill="FF00FF"/>
        </w:rPr>
      </w:pPr>
      <w:r>
        <w:rPr>
          <w:rFonts w:ascii="Arial" w:hAnsi="Arial" w:cs="Arial"/>
          <w:b/>
          <w:shd w:val="clear" w:color="auto" w:fill="FF00FF"/>
        </w:rPr>
        <w:t>DIMENSIÓN: VIDA SALUDABLE</w:t>
      </w:r>
    </w:p>
    <w:p w:rsidR="00DC57CC" w:rsidRDefault="00DC57CC" w:rsidP="00DC57CC">
      <w:pPr>
        <w:jc w:val="both"/>
        <w:rPr>
          <w:rFonts w:ascii="Arial" w:hAnsi="Arial" w:cs="Arial"/>
          <w:b/>
        </w:rPr>
      </w:pPr>
    </w:p>
    <w:p w:rsidR="00DC57CC" w:rsidRDefault="00DC57CC" w:rsidP="00DC57CC">
      <w:pPr>
        <w:jc w:val="both"/>
        <w:outlineLvl w:val="0"/>
        <w:rPr>
          <w:rFonts w:ascii="Arial" w:hAnsi="Arial" w:cs="Arial"/>
          <w:shd w:val="clear" w:color="auto" w:fill="FF00FF"/>
        </w:rPr>
      </w:pPr>
      <w:r>
        <w:rPr>
          <w:rFonts w:ascii="Arial" w:hAnsi="Arial" w:cs="Arial"/>
          <w:b/>
          <w:shd w:val="clear" w:color="auto" w:fill="FF00FF"/>
        </w:rPr>
        <w:t>LÍNEA DE ACCIÓN: PREVENCIÓN</w:t>
      </w:r>
    </w:p>
    <w:p w:rsidR="00DC57CC" w:rsidRDefault="00DC57CC" w:rsidP="00DC57CC">
      <w:pPr>
        <w:jc w:val="both"/>
        <w:rPr>
          <w:rFonts w:ascii="Arial" w:hAnsi="Arial" w:cs="Arial"/>
        </w:rPr>
      </w:pPr>
    </w:p>
    <w:p w:rsidR="00DC57CC" w:rsidRDefault="00DC57CC" w:rsidP="00DC57CC">
      <w:pPr>
        <w:jc w:val="both"/>
        <w:outlineLvl w:val="0"/>
        <w:rPr>
          <w:rFonts w:ascii="Arial" w:hAnsi="Arial" w:cs="Arial"/>
          <w:shd w:val="clear" w:color="auto" w:fill="FF00FF"/>
        </w:rPr>
      </w:pPr>
      <w:r>
        <w:rPr>
          <w:rFonts w:ascii="Arial" w:hAnsi="Arial" w:cs="Arial"/>
          <w:b/>
          <w:bCs/>
        </w:rPr>
        <w:t>Ubicación:</w:t>
      </w:r>
      <w:r>
        <w:rPr>
          <w:rFonts w:ascii="Arial" w:hAnsi="Arial" w:cs="Arial"/>
        </w:rPr>
        <w:t xml:space="preserve"> Evento especial</w:t>
      </w:r>
    </w:p>
    <w:p w:rsidR="00DC57CC" w:rsidRDefault="00DC57CC" w:rsidP="00DC57CC">
      <w:pPr>
        <w:jc w:val="both"/>
        <w:rPr>
          <w:rFonts w:ascii="Arial" w:hAnsi="Arial" w:cs="Arial"/>
        </w:rPr>
      </w:pPr>
    </w:p>
    <w:p w:rsidR="00DC57CC" w:rsidRDefault="00DC57CC" w:rsidP="00DC57CC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 quién va dirigido: </w:t>
      </w:r>
      <w:r>
        <w:rPr>
          <w:rFonts w:ascii="Arial" w:hAnsi="Arial" w:cs="Arial"/>
        </w:rPr>
        <w:t>Estudiantes</w:t>
      </w:r>
    </w:p>
    <w:p w:rsidR="00DC57CC" w:rsidRDefault="00DC57CC" w:rsidP="00DC57CC">
      <w:pPr>
        <w:jc w:val="both"/>
        <w:rPr>
          <w:rFonts w:ascii="Arial" w:hAnsi="Arial" w:cs="Arial"/>
        </w:rPr>
      </w:pPr>
    </w:p>
    <w:p w:rsidR="00DC57CC" w:rsidRDefault="00DC57CC" w:rsidP="00DC57CC">
      <w:pPr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7CC" w:rsidRDefault="00DC57CC" w:rsidP="00DC57CC">
      <w:pPr>
        <w:jc w:val="both"/>
        <w:outlineLvl w:val="0"/>
        <w:rPr>
          <w:rFonts w:ascii="Arial" w:hAnsi="Arial" w:cs="Arial"/>
          <w:b/>
        </w:rPr>
      </w:pPr>
    </w:p>
    <w:p w:rsidR="00DC57CC" w:rsidRDefault="00DC57CC" w:rsidP="00DC57CC">
      <w:pPr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Duración aproximada: </w:t>
      </w:r>
      <w:r>
        <w:rPr>
          <w:rFonts w:ascii="Arial" w:hAnsi="Arial" w:cs="Arial"/>
        </w:rPr>
        <w:t>60 minutos</w:t>
      </w:r>
    </w:p>
    <w:p w:rsidR="00DC57CC" w:rsidRPr="00C62BAD" w:rsidRDefault="00DC57CC" w:rsidP="00DC57CC">
      <w:pPr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Propósito</w:t>
      </w:r>
      <w:r>
        <w:rPr>
          <w:rFonts w:ascii="Arial" w:hAnsi="Arial" w:cs="Arial"/>
          <w:b/>
          <w:bCs/>
          <w:lang w:val="es-ES_tradnl"/>
        </w:rPr>
        <w:t>:</w:t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381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57CC" w:rsidRDefault="00DC57CC" w:rsidP="00DC57CC">
      <w:pPr>
        <w:jc w:val="both"/>
        <w:rPr>
          <w:rFonts w:ascii="Arial" w:eastAsia="Tahoma" w:hAnsi="Arial" w:cs="Arial"/>
        </w:rPr>
      </w:pPr>
      <w:r>
        <w:rPr>
          <w:rFonts w:ascii="Arial" w:eastAsia="Tahoma" w:hAnsi="Arial" w:cs="Arial"/>
          <w:lang w:val="es-ES_tradnl"/>
        </w:rPr>
        <w:t>Identificar los trastornos de la conducta alimenticia, como: la</w:t>
      </w:r>
      <w:r>
        <w:rPr>
          <w:rFonts w:ascii="Arial" w:eastAsia="Tahoma" w:hAnsi="Arial" w:cs="Arial"/>
        </w:rPr>
        <w:t xml:space="preserve"> bulimia y la anorexia. Así como relacionar estos trastornos con los estereotipos relacionados al aspecto físico que socialmente se demanda de las mujeres y de los hombres jóvenes.</w:t>
      </w:r>
    </w:p>
    <w:p w:rsidR="00DC57CC" w:rsidRDefault="00DC57CC" w:rsidP="00DC57CC">
      <w:pPr>
        <w:jc w:val="both"/>
        <w:rPr>
          <w:rFonts w:ascii="Arial" w:hAnsi="Arial" w:cs="Arial"/>
        </w:rPr>
      </w:pPr>
    </w:p>
    <w:p w:rsidR="00DC57CC" w:rsidRDefault="00DC57CC" w:rsidP="00DC57CC">
      <w:pPr>
        <w:jc w:val="both"/>
        <w:rPr>
          <w:rFonts w:ascii="Arial" w:hAnsi="Arial" w:cs="Arial"/>
        </w:rPr>
      </w:pPr>
    </w:p>
    <w:p w:rsidR="00DC57CC" w:rsidRDefault="00DC57CC" w:rsidP="00DC57CC">
      <w:pPr>
        <w:jc w:val="both"/>
        <w:outlineLvl w:val="0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7CC" w:rsidRDefault="00DC57CC" w:rsidP="00DC57CC">
      <w:pPr>
        <w:jc w:val="both"/>
        <w:outlineLvl w:val="0"/>
        <w:rPr>
          <w:rFonts w:ascii="Arial" w:hAnsi="Arial" w:cs="Arial"/>
          <w:b/>
          <w:lang w:val="es-ES_tradnl"/>
        </w:rPr>
      </w:pPr>
    </w:p>
    <w:p w:rsidR="00DC57CC" w:rsidRDefault="00DC57CC" w:rsidP="00DC57CC">
      <w:pPr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b/>
          <w:bCs/>
          <w:lang w:val="es-ES_tradnl"/>
        </w:rPr>
        <w:t>Preparación de la actividad:</w:t>
      </w:r>
    </w:p>
    <w:p w:rsidR="00DC57CC" w:rsidRDefault="00DC57CC" w:rsidP="00DC57CC">
      <w:p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El coordinador/a de la actividad deberá contar con los siguientes materiales: Televisión y videocasetera, así como con la película “Mi hija no” u otra que trate el tema de la anorexia o bulimia.</w:t>
      </w:r>
    </w:p>
    <w:p w:rsidR="00DC57CC" w:rsidRDefault="00DC57CC" w:rsidP="00DC57CC">
      <w:pPr>
        <w:jc w:val="both"/>
        <w:rPr>
          <w:rFonts w:ascii="Arial" w:hAnsi="Arial" w:cs="Arial"/>
          <w:lang w:val="es-ES_tradnl"/>
        </w:rPr>
      </w:pPr>
    </w:p>
    <w:p w:rsidR="00DC57CC" w:rsidRDefault="00DC57CC" w:rsidP="00DC57CC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DC57CC" w:rsidTr="00682077">
        <w:tc>
          <w:tcPr>
            <w:tcW w:w="10173" w:type="dxa"/>
          </w:tcPr>
          <w:p w:rsidR="00DC57CC" w:rsidRDefault="00DC57CC" w:rsidP="0068207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Ficha técnica</w:t>
            </w:r>
          </w:p>
        </w:tc>
      </w:tr>
      <w:tr w:rsidR="00DC57CC" w:rsidTr="00682077">
        <w:tc>
          <w:tcPr>
            <w:tcW w:w="10173" w:type="dxa"/>
          </w:tcPr>
          <w:p w:rsidR="00DC57CC" w:rsidRDefault="00DC57CC" w:rsidP="00682077">
            <w:pPr>
              <w:spacing w:after="160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>Algunos criterios para el diagnóstico de la anorexia:</w:t>
            </w:r>
          </w:p>
          <w:p w:rsidR="00DC57CC" w:rsidRDefault="00DC57CC" w:rsidP="00DC57CC">
            <w:pPr>
              <w:numPr>
                <w:ilvl w:val="0"/>
                <w:numId w:val="2"/>
              </w:numPr>
              <w:spacing w:after="160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>Se niegan a mantener un peso corporal por encima del mínimo para su edad y estatura. Por ejemplo, peso corporal 15% por debajo del nivel esperado o fracaso para lograr la ganancia de peso esperada durante el periodo de crecimiento.</w:t>
            </w:r>
          </w:p>
          <w:p w:rsidR="00DC57CC" w:rsidRDefault="00DC57CC" w:rsidP="00DC57CC">
            <w:pPr>
              <w:numPr>
                <w:ilvl w:val="0"/>
                <w:numId w:val="2"/>
              </w:numPr>
              <w:spacing w:after="160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 xml:space="preserve">Miedo intenso a ganar peso o engordar a pesar de estar alarmantemente </w:t>
            </w:r>
            <w:r>
              <w:rPr>
                <w:rFonts w:ascii="Arial" w:hAnsi="Arial" w:cs="Arial"/>
                <w:iCs/>
                <w:color w:val="000000"/>
              </w:rPr>
              <w:lastRenderedPageBreak/>
              <w:t xml:space="preserve">delgado (a). </w:t>
            </w:r>
          </w:p>
          <w:p w:rsidR="00DC57CC" w:rsidRPr="008C0248" w:rsidRDefault="00DC57CC" w:rsidP="00DC57CC">
            <w:pPr>
              <w:numPr>
                <w:ilvl w:val="0"/>
                <w:numId w:val="2"/>
              </w:numPr>
              <w:spacing w:after="160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 xml:space="preserve">Distorsión de la imagen corporal. Se refiere a sí misma(o) como gorda(o), cuando es obvio que no lo está. </w:t>
            </w:r>
          </w:p>
          <w:p w:rsidR="00DC57CC" w:rsidRDefault="00DC57CC" w:rsidP="00DC57CC">
            <w:pPr>
              <w:numPr>
                <w:ilvl w:val="0"/>
                <w:numId w:val="2"/>
              </w:numPr>
              <w:spacing w:after="160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 xml:space="preserve">En las mujeres, ausencia de al menos tres periodos menstruales consecutivos sin razones aparentes o incapacidad para iniciarlos en las adolescentes prepúberes (se considera que una mujer tiene ausencia de menstruaciones sí sus periodos ocurren solamente después de la administración de medicamentos hormonales). </w:t>
            </w:r>
          </w:p>
          <w:p w:rsidR="00DC57CC" w:rsidRDefault="00DC57CC" w:rsidP="00DC57CC">
            <w:pPr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>Ejercicio compulsivo</w:t>
            </w:r>
          </w:p>
          <w:p w:rsidR="00DC57CC" w:rsidRDefault="00DC57CC" w:rsidP="00682077">
            <w:p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>Algunos criterios para el diagnóstico de la bulimia son:</w:t>
            </w:r>
          </w:p>
          <w:p w:rsidR="00DC57CC" w:rsidRDefault="00DC57CC" w:rsidP="00DC57CC">
            <w:pPr>
              <w:numPr>
                <w:ilvl w:val="0"/>
                <w:numId w:val="3"/>
              </w:numPr>
              <w:spacing w:after="160"/>
              <w:ind w:left="714" w:hanging="357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 xml:space="preserve">Episodios recurrentes de comilonas (rápido consumo de una gran cantidad de alimento en un periodo anormal para cualquier persona). </w:t>
            </w:r>
          </w:p>
          <w:p w:rsidR="00DC57CC" w:rsidRDefault="00DC57CC" w:rsidP="00DC57CC">
            <w:pPr>
              <w:numPr>
                <w:ilvl w:val="0"/>
                <w:numId w:val="3"/>
              </w:numPr>
              <w:spacing w:after="160"/>
              <w:ind w:left="714" w:hanging="357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 xml:space="preserve">Sentimiento de no poder controlar sus patrones alimenticios durante las comilonas. </w:t>
            </w:r>
          </w:p>
          <w:p w:rsidR="00DC57CC" w:rsidRDefault="00DC57CC" w:rsidP="00DC57CC">
            <w:pPr>
              <w:numPr>
                <w:ilvl w:val="0"/>
                <w:numId w:val="3"/>
              </w:numPr>
              <w:spacing w:after="160"/>
              <w:ind w:left="714" w:hanging="357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 xml:space="preserve">La persona usualmente practica algún método para deshacerse de lo que comió: vomito autoinducido, uso de laxantes o diuréticos, dietas estrictas o ayunos, ejercicio vigoroso. </w:t>
            </w:r>
          </w:p>
          <w:p w:rsidR="00DC57CC" w:rsidRDefault="00DC57CC" w:rsidP="00DC57CC">
            <w:pPr>
              <w:numPr>
                <w:ilvl w:val="0"/>
                <w:numId w:val="3"/>
              </w:numPr>
              <w:spacing w:after="160"/>
              <w:ind w:left="714" w:hanging="357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 xml:space="preserve">Preocupación acerca del peso y la figura. </w:t>
            </w:r>
          </w:p>
          <w:p w:rsidR="00DC57CC" w:rsidRDefault="00DC57CC" w:rsidP="00DC57CC">
            <w:pPr>
              <w:numPr>
                <w:ilvl w:val="0"/>
                <w:numId w:val="3"/>
              </w:numPr>
              <w:spacing w:after="160"/>
              <w:ind w:left="714" w:hanging="357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 xml:space="preserve">Al igual que la anoréxica cree que su valor como persona depende de mantenerse delgada. </w:t>
            </w:r>
          </w:p>
          <w:p w:rsidR="00DC57CC" w:rsidRDefault="00DC57CC" w:rsidP="00DC57CC">
            <w:pPr>
              <w:numPr>
                <w:ilvl w:val="0"/>
                <w:numId w:val="3"/>
              </w:numPr>
              <w:spacing w:before="100" w:beforeAutospacing="1" w:after="100" w:afterAutospacing="1"/>
              <w:jc w:val="both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iCs/>
                <w:color w:val="000000"/>
              </w:rPr>
              <w:t xml:space="preserve">Su peso puede ser normal o ligeramente por debajo o encima de lo normal. </w:t>
            </w:r>
          </w:p>
        </w:tc>
      </w:tr>
    </w:tbl>
    <w:p w:rsidR="00DC57CC" w:rsidRDefault="00DC57CC" w:rsidP="00DC57CC">
      <w:pPr>
        <w:jc w:val="both"/>
        <w:rPr>
          <w:rFonts w:ascii="Arial" w:hAnsi="Arial" w:cs="Arial"/>
        </w:rPr>
      </w:pPr>
    </w:p>
    <w:p w:rsidR="00DC57CC" w:rsidRDefault="00DC57CC" w:rsidP="00DC57CC">
      <w:pPr>
        <w:jc w:val="both"/>
        <w:outlineLvl w:val="0"/>
        <w:rPr>
          <w:rFonts w:ascii="Arial" w:hAnsi="Arial" w:cs="Arial"/>
          <w:b/>
          <w:bCs/>
          <w:lang w:val="es-ES_tradnl"/>
        </w:rPr>
      </w:pPr>
      <w:r>
        <w:rPr>
          <w:rFonts w:ascii="Arial" w:hAnsi="Arial" w:cs="Arial"/>
          <w:b/>
          <w:bCs/>
          <w:lang w:val="es-ES_tradnl"/>
        </w:rPr>
        <w:t>Mecánica de aplicación:</w:t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Arial" w:hAnsi="Arial" w:cs="Arial"/>
          <w:b/>
          <w:bCs/>
          <w:lang w:val="es-ES_tradnl"/>
        </w:rPr>
        <w:tab/>
      </w:r>
      <w:r>
        <w:rPr>
          <w:rFonts w:ascii="Calibri" w:hAnsi="Calibri"/>
          <w:b/>
          <w:bCs/>
          <w:noProof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57CC" w:rsidRDefault="00DC57CC" w:rsidP="00DC57CC">
      <w:pPr>
        <w:jc w:val="both"/>
        <w:rPr>
          <w:rFonts w:ascii="Arial" w:hAnsi="Arial" w:cs="Arial"/>
        </w:rPr>
      </w:pPr>
    </w:p>
    <w:p w:rsidR="00DC57CC" w:rsidRDefault="00DC57CC" w:rsidP="00DC57CC">
      <w:pPr>
        <w:jc w:val="both"/>
        <w:rPr>
          <w:rFonts w:ascii="Arial" w:hAnsi="Arial" w:cs="Arial"/>
        </w:rPr>
      </w:pPr>
      <w:r>
        <w:rPr>
          <w:rFonts w:ascii="Arial" w:hAnsi="Arial" w:cs="Arial"/>
          <w:lang w:val="es-ES_tradnl"/>
        </w:rPr>
        <w:t>Se da una breve introducción a la  película que se va a proyectar; una vez terminada ésta se les da la siguiente guía de reflexión:</w:t>
      </w:r>
    </w:p>
    <w:p w:rsidR="00DC57CC" w:rsidRDefault="00DC57CC" w:rsidP="00DC57C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</w:rPr>
        <w:t>¿Cuáles son las causas que motivaron a la chica de la película a dejar de comer?</w:t>
      </w:r>
    </w:p>
    <w:p w:rsidR="00DC57CC" w:rsidRPr="0027361E" w:rsidRDefault="00DC57CC" w:rsidP="00DC57C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</w:rPr>
        <w:t>¿La reacción de negación de la mamá, a qué se la atribuyen?</w:t>
      </w:r>
    </w:p>
    <w:p w:rsidR="00DC57CC" w:rsidRDefault="00DC57CC" w:rsidP="00DC57C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 xml:space="preserve">¿Conocen casos cercanos con esta problemática? </w:t>
      </w:r>
    </w:p>
    <w:p w:rsidR="00DC57CC" w:rsidRDefault="00DC57CC" w:rsidP="00DC57CC">
      <w:pPr>
        <w:numPr>
          <w:ilvl w:val="0"/>
          <w:numId w:val="1"/>
        </w:numPr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¿Qué consideran que se puede hacer para ayudar a estas personas?</w:t>
      </w:r>
    </w:p>
    <w:p w:rsidR="00DC57CC" w:rsidRDefault="00DC57CC" w:rsidP="00DC57CC">
      <w:pPr>
        <w:jc w:val="both"/>
        <w:rPr>
          <w:rFonts w:ascii="Arial" w:hAnsi="Arial" w:cs="Arial"/>
        </w:rPr>
      </w:pPr>
    </w:p>
    <w:p w:rsidR="00DC57CC" w:rsidRDefault="00DC57CC" w:rsidP="00DC57CC">
      <w:pPr>
        <w:jc w:val="both"/>
        <w:rPr>
          <w:rFonts w:ascii="Arial" w:hAnsi="Arial" w:cs="Arial"/>
          <w:b/>
          <w:lang w:val="es-ES_tradnl"/>
        </w:rPr>
      </w:pPr>
    </w:p>
    <w:p w:rsidR="00DC57CC" w:rsidRDefault="00DC57CC" w:rsidP="00DC57CC">
      <w:pPr>
        <w:spacing w:after="160"/>
        <w:jc w:val="both"/>
        <w:outlineLvl w:val="0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Seguimiento:</w:t>
      </w:r>
    </w:p>
    <w:p w:rsidR="00DC57CC" w:rsidRDefault="00DC57CC" w:rsidP="00DC57CC">
      <w:pPr>
        <w:spacing w:after="160"/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lang w:val="es-ES_tradnl"/>
        </w:rPr>
        <w:lastRenderedPageBreak/>
        <w:t>El coordinador/a de la actividad pedirá a las y los participantes que si saben de alguien que presente este tipo de problemas, le brinden información acerca de los servicios de orientación y de tratamiento que figuran en el Inventario de recursos de la escuela.</w:t>
      </w:r>
    </w:p>
    <w:p w:rsidR="00DC57CC" w:rsidRDefault="00DC57CC" w:rsidP="00DC57CC">
      <w:pPr>
        <w:pStyle w:val="Textoindependiente"/>
        <w:rPr>
          <w:b/>
          <w:lang w:val="es-ES_tradnl"/>
        </w:rPr>
      </w:pPr>
    </w:p>
    <w:p w:rsidR="00DC57CC" w:rsidRDefault="00DC57CC" w:rsidP="00DC57CC">
      <w:pPr>
        <w:pStyle w:val="Textoindependiente"/>
        <w:rPr>
          <w:b/>
          <w:lang w:val="es-ES_tradnl"/>
        </w:rPr>
      </w:pPr>
    </w:p>
    <w:p w:rsidR="00AB208F" w:rsidRPr="00DC57CC" w:rsidRDefault="00AB208F">
      <w:pPr>
        <w:rPr>
          <w:lang w:val="es-ES_tradnl"/>
        </w:rPr>
      </w:pPr>
    </w:p>
    <w:sectPr w:rsidR="00AB208F" w:rsidRPr="00DC57CC" w:rsidSect="00AB208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6E8" w:rsidRDefault="000226E8" w:rsidP="00DC57CC">
      <w:r>
        <w:separator/>
      </w:r>
    </w:p>
  </w:endnote>
  <w:endnote w:type="continuationSeparator" w:id="0">
    <w:p w:rsidR="000226E8" w:rsidRDefault="000226E8" w:rsidP="00DC5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6E8" w:rsidRDefault="000226E8" w:rsidP="00DC57CC">
      <w:r>
        <w:separator/>
      </w:r>
    </w:p>
  </w:footnote>
  <w:footnote w:type="continuationSeparator" w:id="0">
    <w:p w:rsidR="000226E8" w:rsidRDefault="000226E8" w:rsidP="00DC57CC">
      <w:r>
        <w:continuationSeparator/>
      </w:r>
    </w:p>
  </w:footnote>
  <w:footnote w:id="1">
    <w:p w:rsidR="00DC57CC" w:rsidRPr="002D2C64" w:rsidRDefault="00DC57CC" w:rsidP="00DC57CC">
      <w:pPr>
        <w:pStyle w:val="Textonotapie"/>
        <w:rPr>
          <w:lang w:val="pt-BR"/>
        </w:rPr>
      </w:pPr>
      <w:r w:rsidRPr="002D2C64">
        <w:rPr>
          <w:rStyle w:val="Refdenotaalpie"/>
        </w:rPr>
        <w:sym w:font="Symbol" w:char="F02A"/>
      </w:r>
      <w:r w:rsidRPr="002D2C64">
        <w:rPr>
          <w:lang w:val="pt-BR"/>
        </w:rPr>
        <w:t xml:space="preserve"> Adaptado de SERAJ,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4DA0"/>
    <w:multiLevelType w:val="hybridMultilevel"/>
    <w:tmpl w:val="73924BF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4879F9"/>
    <w:multiLevelType w:val="hybridMultilevel"/>
    <w:tmpl w:val="55DE892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4A1F1B"/>
    <w:multiLevelType w:val="hybridMultilevel"/>
    <w:tmpl w:val="13DE993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57CC"/>
    <w:rsid w:val="000226E8"/>
    <w:rsid w:val="00AB208F"/>
    <w:rsid w:val="00DC5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7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DC57CC"/>
    <w:pPr>
      <w:jc w:val="both"/>
    </w:pPr>
    <w:rPr>
      <w:bCs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rsid w:val="00DC57CC"/>
    <w:rPr>
      <w:rFonts w:ascii="Times New Roman" w:eastAsia="Times New Roman" w:hAnsi="Times New Roman" w:cs="Times New Roman"/>
      <w:bCs/>
      <w:sz w:val="24"/>
      <w:szCs w:val="24"/>
      <w:lang w:eastAsia="es-ES"/>
    </w:rPr>
  </w:style>
  <w:style w:type="character" w:styleId="Refdenotaalpie">
    <w:name w:val="footnote reference"/>
    <w:basedOn w:val="Fuentedeprrafopredeter"/>
    <w:semiHidden/>
    <w:rsid w:val="00DC57CC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DC57CC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DC57C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C57C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C57CC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443</Words>
  <Characters>2439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2010-06-29T17:00:00Z</dcterms:created>
  <dcterms:modified xsi:type="dcterms:W3CDTF">2010-06-29T17:01:00Z</dcterms:modified>
</cp:coreProperties>
</file>